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2130"/>
        <w:tblW w:w="0" w:type="auto"/>
        <w:tblLook w:val="04A0" w:firstRow="1" w:lastRow="0" w:firstColumn="1" w:lastColumn="0" w:noHBand="0" w:noVBand="1"/>
      </w:tblPr>
      <w:tblGrid>
        <w:gridCol w:w="9355"/>
      </w:tblGrid>
      <w:tr w:rsidR="008B29F4" w:rsidTr="008B29F4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940425" cy="8238490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стр 1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425" cy="8238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Утверждаю директор МБО ДО РШИ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__________________Т. В. Семченко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Учетная политика для целей бухгалтерского учета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Style w:val="a3"/>
                <w:rFonts w:ascii="Times New Roman" w:hAnsi="Times New Roman" w:cs="Times New Roman"/>
                <w:color w:val="147900"/>
                <w:sz w:val="24"/>
                <w:szCs w:val="24"/>
                <w:u w:val="non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Бухгалтерский учет в учреждении ведется в соответствии с </w:t>
            </w:r>
            <w:hyperlink r:id="rId6" w:anchor="/document/99/902316088/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 xml:space="preserve">Законом от 6 декабря 2011 г. </w:t>
              </w:r>
            </w:hyperlink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hyperlink r:id="rId7" w:anchor="/document/99/902316088/" w:history="1">
              <w:r>
                <w:rPr>
                  <w:rFonts w:ascii="Arial" w:eastAsia="Times New Roman" w:hAnsi="Arial" w:cs="Arial"/>
                  <w:color w:val="147900"/>
                  <w:sz w:val="20"/>
                  <w:szCs w:val="20"/>
                  <w:lang w:eastAsia="ru-RU"/>
                </w:rPr>
                <w:br/>
              </w:r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№ 402-ФЗ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приказами Минфина России </w:t>
            </w:r>
            <w:hyperlink r:id="rId8" w:anchor="/document/99/902249301/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от 1 декабря 2010 г. № 157н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«Об утверждении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Единого плана счетов бухгалтерского учета для органов государственной власти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(государственных органов), органов местного самоуправления, органов управления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государственными внебюджетными фондами, государственных академий наук,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государственных (муниципальных) учреждений и Инструкции по его применению»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(далее – Инструкции к Единому плану счетов № 157н), </w:t>
            </w:r>
            <w:hyperlink r:id="rId9" w:anchor="/document/99/902254660/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от 16 декабря 2010 г. № 174н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«Об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утверждении Плана счетов бухгалтерского учета бюджетных учреждений 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Инструкции по его применению»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(далее – Инструкция № 174н), </w:t>
            </w:r>
            <w:hyperlink r:id="rId10" w:anchor="/document/99/499032456/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от 1 июля 2013 г. № 65н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«Об утверждении Указаний о порядке применения бюджетной классификации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  <w:t>Российской Федерации»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(далее – приказ № 65н), </w:t>
            </w:r>
            <w:hyperlink r:id="rId11" w:anchor="/document/99/420266549/" w:tooltip=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от 30 марта 2015 г. № 52н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«Об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  <w:t xml:space="preserve">утверждении форм первичных учетных документов и регистров бухгалтерского учета,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  <w:t xml:space="preserve">применяемых органами государственной власти (государственными органами), органами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  <w:t xml:space="preserve">местного самоуправления, органами управления государственными внебюджетными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  <w:t xml:space="preserve">фондами, государственными (муниципальными) учреждениями, и Методических указаний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  <w:t>по их применению»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(далее – приказ № 52н), в части исполнения полномочий получателя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a3"/>
                <w:rFonts w:ascii="Courier New" w:hAnsi="Courier New" w:cs="Courier New"/>
                <w:color w:val="147900"/>
                <w:u w:val="non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бюджетных средств – в соответствии с </w:t>
            </w:r>
            <w:hyperlink r:id="rId12" w:anchor="/document/99/902250003/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 xml:space="preserve">приказом Минфина России от 6 декабря 2010 г. </w:t>
              </w:r>
            </w:hyperlink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hyperlink r:id="rId13" w:anchor="/document/99/902250003/" w:history="1">
              <w:r>
                <w:rPr>
                  <w:rFonts w:ascii="Arial" w:eastAsia="Times New Roman" w:hAnsi="Arial" w:cs="Arial"/>
                  <w:color w:val="147900"/>
                  <w:sz w:val="20"/>
                  <w:szCs w:val="20"/>
                  <w:lang w:eastAsia="ru-RU"/>
                </w:rPr>
                <w:br/>
              </w:r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№162н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«Об утверждении плана счетов бюджетного учета и Инструкции по его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применению»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(далее – Инструкция № 162н) и иными нормативно-правовыми актами,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регулирующими вопросы бухгалтерского учета.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1. Общие положения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1.1 Ответственным за организацию бухгалтерского учета в учреждении и соблюдение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законодательства при выполнении хозяйственных операций является руководитель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учреждения.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14" w:anchor="/document/99/902316088/XA00MBO2NG/" w:tooltip="1. Ведение бухгалтерского учета и хранение документов бухгалтерского учета организуются руководителем экономического субъекта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часть 1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статьи 7 Закона от 6 декабря 2011 г. № 402-ФЗ.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1.2. Бухгалтерский учет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ведется  –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бухгалтерией,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br/>
              <w:t xml:space="preserve">возглавляемым главным бухгалтером. Главный бухгалтер руководствуются в своей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деятельности </w:t>
            </w:r>
            <w:hyperlink r:id="rId15" w:anchor="/document/118/15196/" w:tooltip="Положение о бухгалтерии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>Положением о бухгалтерии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hyperlink r:id="rId16" w:anchor="/rubric/7/36/10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>должностными инструкциями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17" w:anchor="/document/99/902316088/XA00M7S2MM/" w:tooltip="3. Руководитель экономического субъекта, за исключением кредитной организации, обязан возложить ведение бухгалтерского учета на главного бухгалтера или иное должностное лицо этого субъекта либо заключить договор об оказании услу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часть 3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статьи 7 Закона от 6 декабря 2011 г. № 402-ФЗ.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1.3. Главный бухгалтер подчиняется непосредственно руководителю учреждения и несет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ответственность за формирование учетной политики, ведение бухгалтерского учета,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своевременное представление полной и достоверной бухгалтерской (финансовой),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налоговой и статистической отчетности.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Требования главного бухгалтера по документальному оформлению хозяйственных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операций и представлению в бухгалтерские службы необходимых документов и сведений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являются обязательными для всех сотрудников учреждения.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18" w:anchor="/document/99/902249301/XA00M922N3/" w:tooltip="8. Первичный учетный документ принимается к бухгалтерскому учету при условии отражения в нем всех реквизитов, предусмотренных унифицированной формой документа (при отсутствии унифицированной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8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1.4. В учреждении утвержден состав постоянно действующих комиссий: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комиссии по поступлению и выбытию активов (</w:t>
            </w:r>
            <w:hyperlink r:id="rId19" w:anchor="/document/118/28035/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>приложение 1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);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инвентаризационной комиссии (</w:t>
            </w:r>
            <w:hyperlink r:id="rId20" w:anchor="/document/118/28023/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>приложение 2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1.5. Бухгалтерский учет ведется в рублях.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1.6. В данные бухучета за отчетный год включается информация о фактах хозяйственной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жизни, которые имели место в период между отчетной датой и датой подписания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бухгалтерской (финансовой) отчетности за отчетный год и оказали (могут оказать)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существенное влияние на финансовое состояние, движение денег или результаты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деятельности учреждения (далее – события после отчетной даты).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Событиями после отчетной даты являются:</w:t>
            </w:r>
          </w:p>
          <w:p w:rsidR="008B29F4" w:rsidRDefault="008B29F4" w:rsidP="008B29F4">
            <w:pPr>
              <w:numPr>
                <w:ilvl w:val="0"/>
                <w:numId w:val="2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получение свидетельства о получении (прекращении) права на имущество, в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случае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когда документы на регистрацию были поданы в отчетном году, а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свидетельство получено в следующем;</w:t>
            </w:r>
          </w:p>
          <w:p w:rsidR="008B29F4" w:rsidRDefault="008B29F4" w:rsidP="008B29F4">
            <w:pPr>
              <w:numPr>
                <w:ilvl w:val="0"/>
                <w:numId w:val="2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объявление дебитора банкротом, что влечет последующее списание дебиторской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задолженности;</w:t>
            </w:r>
          </w:p>
          <w:p w:rsidR="008B29F4" w:rsidRDefault="008B29F4" w:rsidP="008B29F4">
            <w:pPr>
              <w:numPr>
                <w:ilvl w:val="0"/>
                <w:numId w:val="2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получение от страховой организации страхового возмещения;</w:t>
            </w:r>
          </w:p>
          <w:p w:rsidR="008B29F4" w:rsidRDefault="008B29F4" w:rsidP="008B29F4">
            <w:pPr>
              <w:numPr>
                <w:ilvl w:val="0"/>
                <w:numId w:val="2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обнаружение бухгалтерской ошибки, нарушений законодательства, которые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влекут искажение бухгалтерской отчетности;</w:t>
            </w:r>
          </w:p>
          <w:p w:rsidR="008B29F4" w:rsidRDefault="008B29F4" w:rsidP="008B29F4">
            <w:pPr>
              <w:numPr>
                <w:ilvl w:val="0"/>
                <w:numId w:val="2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пожар, авария, стихийное бедствие, другая чрезвычайная ситуация, из-за которой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br/>
              <w:t>уничтожена значительная часть имущества учреждения.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События после отчетной даты отражаются в бухучете заключительными операциями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отчетного года.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21" w:anchor="/document/99/902249301/ZAP28RM3JG/" w:tooltip="3. При ведении бухгалтерского учета учреждениям, финансовым органам, органам, осуществляющим кассовое обслуживание, необходимо учитывать, что: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3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2. Рабочий план счетов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2.1. Бухгалтерский учет ведется с использованием рабочего Плана счетов (</w:t>
            </w:r>
            <w:hyperlink r:id="rId22" w:anchor="/document/118/28036/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 xml:space="preserve">приложение </w:t>
              </w:r>
            </w:hyperlink>
            <w:r>
              <w:rPr>
                <w:rFonts w:ascii="Arial" w:eastAsia="Times New Roman" w:hAnsi="Arial" w:cs="Arial"/>
                <w:color w:val="2B79D9"/>
                <w:sz w:val="20"/>
                <w:szCs w:val="20"/>
                <w:lang w:eastAsia="ru-RU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разработанного в соответствии с </w:t>
            </w:r>
            <w:hyperlink r:id="rId23" w:anchor="/document/99/902249301/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Инструкцией к Единому плану счетов № 157н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hyperlink r:id="rId24" w:anchor="/document/99/902254660/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Инструкцией № 174н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за исключением операций, указанных в </w:t>
            </w:r>
            <w:hyperlink r:id="rId25" w:anchor="/document/118/27948/qwert201/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>пункте 2.2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пункты </w:t>
            </w:r>
            <w:hyperlink r:id="rId26" w:anchor="/document/99/902249301/XA00M3G2M3/" w:tooltip="2. Бухгалтерский учет осуществляется учреждениями, финансовыми органами и органами, осуществляющими кассовое обслуживание, в соответствии с Бюджетным кодексом Российской Федерации,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2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</w:t>
            </w:r>
            <w:hyperlink r:id="rId27" w:anchor="/document/99/902249301/XA00M7G2MM/" w:tooltip="6. Субъект учета в целях организации бухгалтерского учета, руководствуясь законодательством Российской Федерации о бухгалтерском учете, нормативными актами органов, регулирующими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6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Style w:val="a3"/>
                <w:rFonts w:ascii="Times New Roman" w:hAnsi="Times New Roman" w:cs="Times New Roman"/>
                <w:color w:val="147900"/>
                <w:sz w:val="24"/>
                <w:szCs w:val="24"/>
                <w:u w:val="non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Учреждение применяет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забалансовые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счета, утвержденные в </w:t>
            </w:r>
            <w:hyperlink r:id="rId28" w:anchor="/document/99/902249301/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 xml:space="preserve">Инструкции к Единому </w:t>
              </w:r>
            </w:hyperlink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hyperlink r:id="rId29" w:anchor="/document/99/902249301/" w:history="1">
              <w:r>
                <w:rPr>
                  <w:rFonts w:ascii="Arial" w:eastAsia="Times New Roman" w:hAnsi="Arial" w:cs="Arial"/>
                  <w:color w:val="147900"/>
                  <w:sz w:val="20"/>
                  <w:szCs w:val="20"/>
                  <w:lang w:eastAsia="ru-RU"/>
                </w:rPr>
                <w:br/>
              </w:r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плану счетов № 157н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Кроме основных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забалансовых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счетов, в учреждении введены дополнительные счета.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Перечень используемых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забалансовых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счетов приведен в </w:t>
            </w:r>
            <w:hyperlink r:id="rId30" w:anchor="/document/118/28036/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 xml:space="preserve">приложении </w:t>
              </w:r>
            </w:hyperlink>
            <w:r>
              <w:rPr>
                <w:rFonts w:ascii="Arial" w:eastAsia="Times New Roman" w:hAnsi="Arial" w:cs="Arial"/>
                <w:color w:val="2B79D9"/>
                <w:sz w:val="20"/>
                <w:szCs w:val="20"/>
                <w:lang w:eastAsia="ru-RU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31" w:anchor="/document/99/902249301/ZAP2J8U3KC/" w:tooltip="332. На забалансовых счетах учреждением учитываются: ценности, находящиеся у учреждения, но не закрепленные за ним на праве оперативного управления (арендованное имущество; имущество,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332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 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2.2. В части операций по исполнению публичных обязательств перед гражданами в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денежной форме учреждение ведет бюджетный учет в автоматизированной форме по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рабочему Плану счетов в соответствии </w:t>
            </w:r>
            <w:hyperlink r:id="rId32" w:anchor="/document/99/902250003/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Инструкцией № 162н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пункты </w:t>
            </w:r>
            <w:hyperlink r:id="rId33" w:anchor="/document/99/902249301/XA00M3G2M3/" w:tooltip="2. Бухгалтерский учет осуществляется учреждениями, финансовыми органами и органами, осуществляющими кассовое обслуживание, в соответствии с Бюджетным кодексом Российской Федерации,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2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</w:t>
            </w:r>
            <w:hyperlink r:id="rId34" w:anchor="/document/99/902249301/XA00M7G2MM/" w:tooltip="6. Субъект учета в целях организации бухгалтерского учета, руководствуясь законодательством Российской Федерации о бухгалтерском учете, нормативными актами органов, регулирующими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6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3. Учет отдельных видов имущества и обязательств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3.1. При ведении бухгалтерского учета информация в денежном выражении о состоянии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активов, обязательств, источниках финансирования, об операциях, их изменяющих, 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финансовых результатах указанных операций (доходах, расходах), отражаемая на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соответствующих счетах рабочего плана счетов, должна быть полной, сообразной с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существенностью.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Ошибки, признанные существенными, подлежат обязательному исправлению.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Существенной признается информация, пропуск или искажение которой влечет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изменение на 1 процент (или более) оборотов по дебету (кредиту) аналитического счета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br/>
              <w:t xml:space="preserve">рабочего плана счетов, приведенного в </w:t>
            </w:r>
            <w:hyperlink r:id="rId35" w:anchor="/document/118/28036/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 xml:space="preserve">приложении </w:t>
              </w:r>
            </w:hyperlink>
            <w:r>
              <w:rPr>
                <w:rFonts w:ascii="Arial" w:eastAsia="Times New Roman" w:hAnsi="Arial" w:cs="Arial"/>
                <w:color w:val="2B79D9"/>
                <w:sz w:val="20"/>
                <w:szCs w:val="20"/>
                <w:lang w:eastAsia="ru-RU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36" w:anchor="/document/99/902249301/ZAP28RM3JG/" w:tooltip="3. При ведении бухгалтерского учета учреждениям, финансовым органам, органам, осуществляющим кассовое обслуживание, необходимо учитывать, что: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3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 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3.2. Бухучет ведется по проверенным и принятым к учету первичным документам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методом начисления. К учету принимаются первичные учетные документы, составленные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надлежащим образом и поступившие по результатам внутреннего контроля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хозяйственных операций для регистрации содержащихся в них данных в регистрах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бухучета.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37" w:anchor="/document/99/902249301/ZAP28RM3JG/" w:tooltip="3. При ведении бухгалтерского учета учреждениям, финансовым органам, органам, осуществляющим кассовое обслуживание, необходимо учитывать, что: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3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3.3. Основные средства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3.3.1. В составе основных средств учитываются материальные объекты, используемые в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процессе деятельности учреждения при выполнении работ или оказании услуг либо для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управленческих нужд учреждения, независимо от стоимости объектов основных средств,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со сроком полезного использования более 12 месяцев. Первоначальной стоимостью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основных средств признается сумма фактических вложений учреждения в приобретение,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сооружение и изготовление объектов основных средств.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пункты </w:t>
            </w:r>
            <w:hyperlink r:id="rId38" w:anchor="/document/99/902249301/XA00M8G2MQ/" w:tooltip="23. Объекты нефинансовых активов принимаются к бухгалтерскому учету по их первоначальной (фактической) стоимости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23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hyperlink r:id="rId39" w:anchor="/document/99/902249301/ZAP227E3CR/" w:tooltip="38. Счет предназначен для учета операций с материальными объектами, относящимися в соответствии с положениями настоящей Инструкции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38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hyperlink r:id="rId40" w:anchor="/document/99/902249301/XA00M8U2MR/" w:tooltip="39. К основным средствам не относятся предметы, служащие менее двенадцати месяцев, независимо от их стоимости, материальные объекты имущества, относящиеся в соответствии с положениями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39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hyperlink r:id="rId41" w:anchor="/document/99/902249301/XA00M4E2MK/" w:tooltip="47. В целях определения первоначальной стоимости объекта основного средства при его приобретении за плату, сооружении и (или) изготовлении фактические вложения учреждения формируются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47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3.3.2. Каждому объекту недвижимого, а также движимого имущества стоимостью свыше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3000 руб. присваивается уникальный инвентарный номер, состоящий из десяти знаков: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1-й разряд – амортизационная группа, к которой отнесен объект при принятии к учету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(при отнесении инвентарного объекта к 10-й амортизационной группе в данном разряде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проставляется «0»);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2–4-й разряды – код объекта учета синтетического счета в Плане счетов бухгалтерского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учета (</w:t>
            </w:r>
            <w:hyperlink r:id="rId42" w:anchor="/document/99/902254660/ZAP1TIU3DB/" w:tooltip="Приложение N 1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приложение 1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 приказу Минфина России от 16 декабря 2010 г. № 174н);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5–6-й разряды – код группы и вида синтетического счета Плана счетов бухгалтерского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учета (</w:t>
            </w:r>
            <w:hyperlink r:id="rId43" w:anchor="/document/99/902254660/ZAP1TIU3DB/" w:tooltip="Приложение N 1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приложение 1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 приказу Минфина России от 16 декабря 2010 г. № 174н);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7–10-й разряды – порядковый номер нефинансового актива.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44" w:anchor="/document/99/902249301/XA00M3S2MH/" w:tooltip="46. Каждому инвентарному объекту недвижимого имущества, а также инвентарному объекту движимого имущества, кроме объектов стоимостью до 3000 рублей включительно и объектов библиотечного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46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3.3.3. Присвоенный объекту инвентарный номер обозначается материально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br/>
              <w:t xml:space="preserve">ответственным лицом в присутствии уполномоченного члена комиссии по поступлению 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выбытию активов путем нанесения номера на инвентарный объект краской или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водостойким маркером.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В случае если объект является сложным (комплексом конструктивно-сочлененных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предметов), инвентарный номер обозначается на каждом составляющем элементе тем же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способом, что и на сложном объекте.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3.3.4. Учет основных средств на соответствующих счетах Плана счетов бухгалтерского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a3"/>
                <w:rFonts w:ascii="Courier New" w:hAnsi="Courier New" w:cs="Courier New"/>
                <w:color w:val="147900"/>
                <w:u w:val="non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учета ведется в соответствии с требованиями </w:t>
            </w:r>
            <w:hyperlink r:id="rId45" w:anchor="/document/97/304/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 xml:space="preserve">Общероссийского классификатора основных </w:t>
              </w:r>
            </w:hyperlink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a3"/>
                <w:rFonts w:ascii="Arial" w:eastAsia="Times New Roman" w:hAnsi="Arial" w:cs="Arial"/>
                <w:color w:val="147900"/>
                <w:sz w:val="20"/>
                <w:szCs w:val="20"/>
                <w:u w:val="none"/>
                <w:lang w:eastAsia="ru-RU"/>
              </w:rPr>
            </w:pPr>
            <w:hyperlink r:id="rId46" w:anchor="/document/97/304/" w:history="1">
              <w:r>
                <w:rPr>
                  <w:rFonts w:ascii="Arial" w:eastAsia="Times New Roman" w:hAnsi="Arial" w:cs="Arial"/>
                  <w:color w:val="147900"/>
                  <w:sz w:val="20"/>
                  <w:szCs w:val="20"/>
                  <w:lang w:eastAsia="ru-RU"/>
                </w:rPr>
                <w:br/>
              </w:r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фондов ОК 013-94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утвержденного </w:t>
            </w:r>
            <w:hyperlink r:id="rId47" w:anchor="/document/99/902054953/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 xml:space="preserve">постановлением Госстандарта России от 26 декабря </w:t>
              </w:r>
            </w:hyperlink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</w:rPr>
            </w:pPr>
            <w:hyperlink r:id="rId48" w:anchor="/document/99/902054953/" w:history="1">
              <w:r>
                <w:rPr>
                  <w:rFonts w:ascii="Arial" w:eastAsia="Times New Roman" w:hAnsi="Arial" w:cs="Arial"/>
                  <w:color w:val="147900"/>
                  <w:sz w:val="20"/>
                  <w:szCs w:val="20"/>
                  <w:lang w:eastAsia="ru-RU"/>
                </w:rPr>
                <w:br/>
              </w:r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1994 г. № 359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49" w:anchor="/document/99/902249301/XA00M3A2ME/" w:tooltip="45. Единицей учета основных средств является инвентарный объект. Инвентарным объектом основных средств является объект со всеми приспособлениями и принадлежностями, отдельный конструктивно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45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3.3.5. К хозяйственному инвентарю относятся предметы конторского и хозяйственного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пользования, непосредственно используемые в производственном процессе.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3.3.6. Начисление амортизации основных средств в бухгалтерском учете производится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линейным способом в соответствии со сроками полезного использования.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50" w:anchor="/document/99/902249301/XA00MC22NJ/" w:tooltip="85. Расчет годовой суммы амортизации производится учреждением, осуществляющим учет используемого объекта основных средств, нематериальных активов линейным способом, исходя из его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85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3.3.7. Срок полезного использования объектов основных средств устанавливается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комиссией по поступлению и выбытию активов (</w:t>
            </w:r>
            <w:hyperlink r:id="rId51" w:anchor="/document/118/28035/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>приложение 1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 исходя из следующих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факторов: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информации, содержащейся в законодательстве РФ;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рекомендаций, содержащихся в документах производителя, – при отсутствии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соответствующих норм в законодательстве РФ. Если такая информация отсутствует, срок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определяется на основании решения комиссии учреждения по поступлению и выбытию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активов, принятого с учетом ожидаемого срока использования и физического износа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объекта, а также с учетом гарантийного срока использования;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сроков фактической эксплуатации и ранее начисленной суммы амортизации – для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безвозмездно полученных объектов.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 объектам, включенным в амортизационные группы с первой по девятую, срок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br/>
              <w:t xml:space="preserve">полезного использования определяется по наибольшему сроку, указанному в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hyperlink r:id="rId52" w:anchor="/document/99/901808053/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постановлении Правительства РФ от 1 января 2002 г. № 1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«О Классификации основных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средств, включаемых в амортизационные группы».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 объектам, включенным в десятую амортизационную группу, срок полезного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a3"/>
                <w:rFonts w:ascii="Courier New" w:hAnsi="Courier New" w:cs="Courier New"/>
                <w:color w:val="147900"/>
                <w:u w:val="non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использования рассчитывается исходя из </w:t>
            </w:r>
            <w:hyperlink r:id="rId53" w:anchor="/document/99/9004957/ZA026783G3/" w:tooltip="ЕДИНЫЕ НОРМЫ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единых норм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утвержденных </w:t>
            </w:r>
            <w:hyperlink r:id="rId54" w:anchor="/document/99/9004957/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 xml:space="preserve">постановлением </w:t>
              </w:r>
            </w:hyperlink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hyperlink r:id="rId55" w:anchor="/document/99/9004957/" w:history="1">
              <w:r>
                <w:rPr>
                  <w:rFonts w:ascii="Arial" w:eastAsia="Times New Roman" w:hAnsi="Arial" w:cs="Arial"/>
                  <w:color w:val="147900"/>
                  <w:sz w:val="20"/>
                  <w:szCs w:val="20"/>
                  <w:lang w:eastAsia="ru-RU"/>
                </w:rPr>
                <w:br/>
              </w:r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Совета Министров СССР от 22 октября 1990 г. № 1072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Основание: </w:t>
            </w:r>
            <w:hyperlink r:id="rId56" w:anchor="/document/99/902249301/XA00M2O2MB/" w:tooltip="44. Сроком полезного использования объекта основных средств является период, в течение которого предусматривается использование в процессе деятельности учреждения объекта нефинансовых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44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3.3.8. Переоценка основных средств производится в сроки и в порядке, устанавливаемые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Правительством РФ.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57" w:anchor="/document/99/902249301/XA00MBO2NG/" w:tooltip="28. Учреждения проводят переоценку стоимости объектов имущества и капитальных вложений в нефинансовые активы, за исключением активов в драгоценных металлах и драгоценных камнях, ювелирных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28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3.3.9. Имущество, относящееся к категории особо ценного имущества (ОЦИ), определяет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комиссия по поступлению и выбытию активов (</w:t>
            </w:r>
            <w:hyperlink r:id="rId58" w:anchor="/document/118/28035/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>приложение 1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). Такое имущество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принимается к учету на основании выписки из протокола комиссии.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3.3.10. Основные средства стоимостью до 3000 руб. включительно, находящиеся в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эксплуатации, учитываются на одноименном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забалансовом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счете 21 по балансовой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стоимости.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59" w:anchor="/document/99/902249301/ZAP25MS3JC/" w:tooltip="373. Счет предназначен для учета находящихся в эксплуатации учреждения объектов основных средств стоимостью до 3000 рублей включительно, за исключением объектов библиотечного фонда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373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3.4. Нематериальные активы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3.4.1. Начисление амортизации нематериальных активов производится линейным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способом в соответствии со сроками полезного использования.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60" w:anchor="/document/99/902249301/ZAP2ELE3OJ/" w:tooltip="93. По объектам нематериальных активов амортизация начисляется в следующем порядке: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93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3.4.2. Срок полезного использования нематериальных активов устанавливается комиссией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 поступлению и выбытию активов (</w:t>
            </w:r>
            <w:hyperlink r:id="rId61" w:anchor="/document/118/28035/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>приложение 1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исходя из следующих сроков: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течение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которого учреждению будут принадлежать исключительные права на объект.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Этот срок указывается в охранных документах (патентах, свидетельствах и т. п.), или он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следует из закона;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течение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которого учреждение планирует использовать объект в своей деятельности.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Если по объекту нематериальных активов срок полезного использования определить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br/>
              <w:t xml:space="preserve">невозможно, то в целях расчета амортизации он устанавливается равным десяти годам.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62" w:anchor="/document/99/902019731/ZA00MBS2NK/" w:tooltip="Статья 1335. Срок действия исключительного права изготовителя базы данных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статья 1335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Гражданского кодекса РФ, </w:t>
            </w:r>
            <w:hyperlink r:id="rId63" w:anchor="/document/99/902249301/XA00M362MC/" w:tooltip="60. Сроком полезного использования нематериального актива является период, в течение которого учреждением предполагается использование актива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60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3.5. Непроизведенные активы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3.5.1. Земельные участки, закрепленные за учреждением на праве постоянного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(бессрочного) пользования (в т. ч. расположенные под объектами недвижимости),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учитываются на счете 0.103.11.000 «Земля – недвижимое имущество учреждения».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 для постановки на учет – свидетельство, подтверждающее право пользования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земельным участком. Учет ведется по рыночной (кадастровой) стоимости на дату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принятия к бухгалтерскому учету.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пункты </w:t>
            </w:r>
            <w:hyperlink r:id="rId64" w:anchor="/document/99/902249301/ZAP2DD63JM/" w:tooltip="Первоначальной стоимостью объектов непроизведенных активов признаются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23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hyperlink r:id="rId65" w:anchor="/document/99/902249301/XA00M742MU/" w:tooltip="71. Указанные активы, за исключением земельных участков, отражаются в бухгалтерском учете по их первоначальной стоимости в момент вовлечения их в экономический (хозяйственный) оборот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71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hyperlink r:id="rId66" w:anchor="/document/99/902249301/XA00M4O2MJ/" w:tooltip="78. Объекты непроизведенных активов учитываются на счете, содержащем аналитический код группы синтетического счета 10 &quot;Недвижимое имущество учреждения&quot; и соответствующий аналитический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78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 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3.6. Материальные запасы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3.6.1. К материальным запасам относятся предметы, используемые в деятельности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учреждения в течение периода, не превышающего 12 месяцев, независимо от их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стоимости.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Оценка материальных запасов в бухгалтерском учете осуществляется по фактической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стоимости каждой единицы. Единицей учета материальных запасов является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номенклатурный номер.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пункты </w:t>
            </w:r>
            <w:hyperlink r:id="rId67" w:anchor="/document/99/902249301/XA00M8O2ND/" w:tooltip="99. К материальным запасам относятся: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99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hyperlink r:id="rId68" w:anchor="/document/99/902249301/XA00ME62NT/" w:tooltip="100. Материальные запасы принимаются к бухгалтерскому учету по фактической стоимости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100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hyperlink r:id="rId69" w:anchor="/document/99/902249301/XA00MEO2O0/" w:tooltip="101. Единица бухгалтерского учета материальных запасов выбирается учреждением самостоятельно таким образом, чтобы обеспечить формирование полной и достоверной информации об этих запасах,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101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3.6.2. Списание материальных запасов производится по средней фактической стоимости.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Основание: </w:t>
            </w:r>
            <w:hyperlink r:id="rId70" w:anchor="/document/99/902249301/XA00M9Q2NI/" w:tooltip="108. Выбытие (отпуск) материальных запасов производится по фактической стоимости каждой единицы, либо по средней фактической стоимости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108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3.6.3. Фактическая стоимость материальных запасов, полученных в результате ремонта,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разборки, утилизации (ликвидации), основных средств или иного имущества определяется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исходя из следующих факторов:</w:t>
            </w:r>
          </w:p>
          <w:p w:rsidR="008B29F4" w:rsidRDefault="008B29F4" w:rsidP="008B29F4">
            <w:pPr>
              <w:numPr>
                <w:ilvl w:val="0"/>
                <w:numId w:val="4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их текущей оценочной стоимости на дату принятия к бухгалтерскому учету;</w:t>
            </w:r>
          </w:p>
          <w:p w:rsidR="008B29F4" w:rsidRDefault="008B29F4" w:rsidP="008B29F4">
            <w:pPr>
              <w:numPr>
                <w:ilvl w:val="0"/>
                <w:numId w:val="4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сумм, уплачиваемых учреждением за доставку материальных запасов, приведение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их в состояние, пригодное для использования.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3.7. Стоимость безвозмездно полученных нефинансовых активов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Безвозмездно полученные объекты нефинансовых активов, а также неучтенные объекты,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выявленные при проведении проверок и инвентаризаций, принимаются к учету по их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текущей оценочной стоимости, определенной на дату принятия к бухгалтерскому учету.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Текущая оценочная стоимость определяется комиссией по поступлению и выбытию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активов исходя из текущих рыночных цен на аналогичные материальные ценности.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пункты </w:t>
            </w:r>
            <w:hyperlink r:id="rId71" w:anchor="/document/99/902249301/XA00MA22N7/" w:tooltip="25. Первоначальной (фактической) стоимостью объектов нефинансовых активов, полученных учреждением безвозмездно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25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hyperlink r:id="rId72" w:anchor="/document/99/902249301/XA00M8E2MP/" w:tooltip="31. Неучтенные объекты нефинансовых активов, выявленные при проведении проверок и (или) инвентаризаций активов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31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Данные о действующей цене должны быть подтверждены документально: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– справками (другими подтверждающими документами) Росстата;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– прайс-листами заводов-изготовителей;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– справками (другими подтверждающими документами) оценщиков;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– информацией, размещенной в СМИ, и т. д.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случаях невозможности документального подтверждения стоимость определяется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экспертным путем.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 возникновении затруднений при определении текущей оценочной стоимости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комиссией учреждения стоимость определяется специализированной организацией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(оценщиком) на основании договора (контракта).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3.8. Затраты (расходы) учреждения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3.8.1. Затраты при изготовлении готовой продукции (работ, услуг) делятся на прямые 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накладные.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Прямые затраты непосредственно относятся на себестоимость изготовления единицы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готовой продукции (выполнения работ, оказания услуг).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Накладные расходы распределяются пропорционально прямым затратам к объему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выручки от реализации продукции (работ, услуг).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Общехозяйственные расходы учреждения, произведенные за отчетный период (месяц),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распределяются: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в части распределяемых расходов – на себестоимость реализованной готовой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продукции, оказанных работ, услуг пропорционально прямым затратам по объему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выручки от реализации продукции (работ, услуг);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в части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нераспределяемых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расходов – на увеличение расходов текущего финансового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года.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Сумма затрат, произведенных учреждением в результате реализации товаров, в том числе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 процессе продвижения товаров, относится к издержкам обращения.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br/>
              <w:t xml:space="preserve">Основание: </w:t>
            </w:r>
            <w:hyperlink r:id="rId73" w:anchor="/document/99/902249301/ZAP21RA3DU/" w:tooltip="134. Счет предназначен для учета операций по формированию себестоимости готовой продукции, выполняемых работ, оказываемых услуг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пункты 134–136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3.8.2. Расходами, которые относятся на себестоимость готовой продукции (выполненных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работ, оказываемых услуг), признаются: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все материальные расходы, кроме общехозяйственных, участвующие в процессе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изготовления готовой продукции (выполнения работ, оказания услуг);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расходы на оплату труда персонала, участвующего в процессе изготовления готовой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продукции (выполнения работ, оказания услуг) (кроме административно-управленческого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персонала);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начисленные суммы взносов на обязательное пенсионное (социальное, медицинское)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страхование;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суммы начисленной амортизации по основным средствам, используемым в процессе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изготовления готовой продукции (выполнения работ, оказания услуг).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3.8.3. Расходами, которые не включаются в себестоимость и сразу списываются на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финансовый результат (счет 0.401.20.000), признаются: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 расходы на социальное обеспечение населения;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 расходы на транспортный налог;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 расходы на налог на имущество.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3.8.4. Расходы, произведенные в текущем отчетном периоде, но относящиеся к будущим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отчетным периодам, подлежат отнесению на счет 0.401.50.000 «Расходы будущих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периодов».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Впоследствии расходы списываются равномерно на финансовый результат текущего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финансового года в течение периода, к которому они относятся. Исключение – расходы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на выплату отпускных, для покрытия которых в учреждении создается резерв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предстоящих расходов.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пункты </w:t>
            </w:r>
            <w:hyperlink r:id="rId74" w:anchor="/document/99/902249301/ZAP244Q3EH/" w:tooltip="302. Счет предназначен для учета сумм расходов, начисленных учреждением в отчетном периоде, но относящихся к будущим отчетным периодам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302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hyperlink r:id="rId75" w:anchor="/document/99/902249301/ZAP1SKQ3AA/" w:tooltip="302.1. Счет предназначен для обобщения информации о состоянии и движении сумм, зарезервированных в целях равномерного включения расходов на финансовый результат учреждения, по обязательствам,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302.1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3.9 Расчеты с подотчетными лицами.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3.9.1. По возвращении из командировки сотрудник обязан представить авансовый отчет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br/>
              <w:t>об израсходованных суммах в течение трех рабочих дней.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3.10. Расчеты с дебиторами и кредиторами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3.10.1. Аналитический учет расчетов с поставщиками (подрядчиками) ведется в разрезе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кредиторов.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Дебиторская задолженность, признанная нереальной для взыскания в порядке,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установленном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приказом по учреждению и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законодательством РФ, списывается на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финансовый результат на основании данных проведенной инвентаризации. Списанная с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балансового учета задолженность отражается на </w:t>
            </w:r>
            <w:hyperlink r:id="rId76" w:anchor="/document/99/902249301/ZA00M6I2MG/" w:tooltip="Счет 04 Задолженность неплатежеспособных дебиторов" w:history="1">
              <w:proofErr w:type="spellStart"/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забалансовом</w:t>
              </w:r>
              <w:proofErr w:type="spellEnd"/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 xml:space="preserve"> счете 04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«Задолженность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неплатежеспособных дебиторов» до момента: </w:t>
            </w:r>
          </w:p>
          <w:p w:rsidR="008B29F4" w:rsidRDefault="008B29F4" w:rsidP="008B29F4">
            <w:pPr>
              <w:numPr>
                <w:ilvl w:val="0"/>
                <w:numId w:val="6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истечения срока, в который можно возобновить процедуру взыскания согласно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законодательству РФ (в т. ч. изменения имущественного положения должника);</w:t>
            </w:r>
          </w:p>
          <w:p w:rsidR="008B29F4" w:rsidRDefault="008B29F4" w:rsidP="008B29F4">
            <w:pPr>
              <w:numPr>
                <w:ilvl w:val="0"/>
                <w:numId w:val="6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погашения задолженности контрагентом: когда он внесет деньги или погасит долг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другим способом, не противоречащим законодательству РФ. В этом случае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задолженность нужно восстановить на балансовом учете.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Дебиторская задолженность списывается отдельно по каждому обязательству (дебитору).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Основание: пункты: </w:t>
            </w:r>
            <w:hyperlink r:id="rId77" w:anchor="/document/99/902249301/XA00MAK2N1/" w:tooltip="339. Счет предназначен для учета задолженности неплатежеспособных дебиторов с момента признания ее в порядке, установленном законодательством, актом главного администратора доходов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339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hyperlink r:id="rId78" w:anchor="/document/99/902249301/XA00M1O2LU/" w:tooltip="340. Аналитический учет по счету ведется в Карточке учета средств и расчетов в разрезе видов поступлений (выплат),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340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Кредиторская задолженность, не востребованная кредитором, по которой срок исковой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давности истек, списывается на финансовый результат на основании данных проведенной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инвентаризации. Срок исковой давности определяется в соответствии с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законодательством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РФ.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Одновременно списанная с балансового учета кредиторская задолженность отражается на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hyperlink r:id="rId79" w:anchor="/document/99/902249301/ZA00M9A2N8/" w:tooltip="Счет 20 Задолженность, невостребованная кредиторами" w:history="1">
              <w:proofErr w:type="spellStart"/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забалансовом</w:t>
              </w:r>
              <w:proofErr w:type="spellEnd"/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 xml:space="preserve"> счете 20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«Задолженность, не востребованная кредиторами».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Списание задолженности с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забалансового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учета осуществляется по итогам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инвентаризации задолженности на основании решения инвентаризационной комиссии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учреждения (</w:t>
            </w:r>
            <w:hyperlink r:id="rId80" w:anchor="/document/118/28023/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>приложение 2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):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по истечении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пяти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лет отражения задолженности на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забалансовом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учете;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по завершении срока возможного возобновления процедуры взыскания задолженности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согласно действующему законодательству;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при наличии документов, подтверждающих прекращение обязательства в связи со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смертью (ликвидацией) контрагента.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Кредиторская задолженность списывается отдельно по каждому обязательству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br/>
              <w:t>(кредитору).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Основание: пункты </w:t>
            </w:r>
            <w:hyperlink r:id="rId81" w:anchor="/document/99/902249301/XA00M7I2MS/" w:tooltip="371. Счет предназначен для учета сумм непредъявленных кредиторами требований, вытекающих из условий договора, контракта, в том числе сумм кредиторской задолженности, не подтвержденных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371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hyperlink r:id="rId82" w:anchor="/document/99/902249301/XA00M842MV/" w:tooltip="372. Аналитический учет по счету организуется в разрезе видов выплат (поступлений), по которым на балансе учреждения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372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3.10.2. Аналитический учет расчетов по пособиям и иным социальным выплатам ведется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 разрезе физических лиц – получателей социальных выплат.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3.10.3. Аналитический учет расчетов по оплате труда ведется в разрезе сотрудников 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других физических лиц, с которыми заключены гражданско-правовые договоры.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3.11. Финансовый результат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Учреждение осуществляет все расходы в пределах установленных норм и утвержденного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на текущий год плана финансово-хозяйственной деятельности:</w:t>
            </w:r>
          </w:p>
          <w:p w:rsidR="008B29F4" w:rsidRDefault="008B29F4" w:rsidP="008B29F4">
            <w:pPr>
              <w:numPr>
                <w:ilvl w:val="0"/>
                <w:numId w:val="8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 междугородные переговоры, услуги по доступу в Интернет – по фактическому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расходу.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3.13.  Санкционирование расходов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3.13.1. Принятие к учету обязательств (денежных обязательств) осуществляется в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порядке, приведенном в </w:t>
            </w:r>
            <w:hyperlink r:id="rId83" w:anchor="/document/118/28040/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>приложении </w:t>
              </w:r>
            </w:hyperlink>
            <w:r>
              <w:rPr>
                <w:rFonts w:ascii="Arial" w:eastAsia="Times New Roman" w:hAnsi="Arial" w:cs="Arial"/>
                <w:color w:val="2B79D9"/>
                <w:sz w:val="20"/>
                <w:szCs w:val="20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4. Инвентаризация имущества и обязательств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4.1. Инвентаризация имущества и обязательств (в т. ч. числящихся на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забалансовых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счетах), а также финансовых результатов (в т. ч. расходов будущих периодов и резервов)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проводится раз в год перед составлением годовой отчетности, а также в иных случаях,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предусмотренных законодательством. Инвентаризации проводит постоянно действующая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инвентаризационная комиссия, состав которой приведен в </w:t>
            </w:r>
            <w:hyperlink r:id="rId84" w:anchor="/document/118/28023/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>приложении 2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Инвентаризация расчетов производится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с организациями и учреждениями – один раз в год.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В отдельных случаях (при смене материально ответственных лиц, выявлении фактов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хищения, стихийных бедствиях и т. д.) инвентаризацию может проводить специально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созданная рабочая комиссия, состав которой утверждается отельным приказом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руководителя.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Основание: </w:t>
            </w:r>
            <w:hyperlink r:id="rId85" w:anchor="/document/99/902316088/ZAP24VG3AA/" w:tooltip="Статья 11. Инвентаризация активов и обязательств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статья 11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Закона от 6 декабря 2011 г. № 402-ФЗ, </w:t>
            </w:r>
            <w:hyperlink r:id="rId86" w:anchor="/document/99/9012255/XA00M2U2M0/" w:tooltip="1.5. В соответствии с Положением о бухгалтерском учете и отчетности в Российской Федерации проведение инвентаризаций обязательно: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1.5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Методических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br/>
              <w:t>указаний, утвержденных приказом Минфина России от 13 июня 1995 г. № 49.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5. Технология обработки учетной информации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5.1. Обработка учетной информации ведется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автоматизированно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 применением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программного продукта «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1С»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87" w:anchor="/document/99/902249301/XA00M7G2MM/" w:tooltip="6. Субъект учета в целях организации бухгалтерского учета, руководствуясь законодательством Российской Федерации о бухгалтерском учете, нормативными актами органов, регулирующими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6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5.2. С использованием телекоммуникационных каналов связи и электронной подписи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бухгалтерия учреждения осуществляет электронный документооборот по следующим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направлениям:</w:t>
            </w:r>
          </w:p>
          <w:p w:rsidR="008B29F4" w:rsidRDefault="008B29F4" w:rsidP="008B29F4">
            <w:pPr>
              <w:numPr>
                <w:ilvl w:val="0"/>
                <w:numId w:val="10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система электронного документооборота с территориальным органом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Казначейства России;</w:t>
            </w:r>
          </w:p>
          <w:p w:rsidR="008B29F4" w:rsidRDefault="008B29F4" w:rsidP="008B29F4">
            <w:pPr>
              <w:numPr>
                <w:ilvl w:val="0"/>
                <w:numId w:val="10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передача бухгалтерской отчетности учредителю;</w:t>
            </w:r>
          </w:p>
          <w:p w:rsidR="008B29F4" w:rsidRDefault="008B29F4" w:rsidP="008B29F4">
            <w:pPr>
              <w:numPr>
                <w:ilvl w:val="0"/>
                <w:numId w:val="10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передача отчетности по налогам, сборам и иным обязательным платежам в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инспекцию Федеральной налоговой службы;</w:t>
            </w:r>
          </w:p>
          <w:p w:rsidR="008B29F4" w:rsidRDefault="008B29F4" w:rsidP="008B29F4">
            <w:pPr>
              <w:numPr>
                <w:ilvl w:val="0"/>
                <w:numId w:val="10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передача отчетности по страховым взносам и сведениям персонифицированного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учета в отделение Пенсионного фонда РФ;</w:t>
            </w:r>
          </w:p>
          <w:p w:rsidR="008B29F4" w:rsidRDefault="008B29F4" w:rsidP="008B29F4">
            <w:pPr>
              <w:numPr>
                <w:ilvl w:val="0"/>
                <w:numId w:val="10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размещение информации о деятельности учреждения на официальном сайте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bus.gov.ru.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5.3. Без надлежащего оформления первичных (сводных) учетных документов любые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исправления (добавление новых записей) в электронных базах данных не допускаются.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5.4. В целях обеспечения сохранности электронных данных бухгалтерского учета 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отчетности:</w:t>
            </w:r>
          </w:p>
          <w:p w:rsidR="008B29F4" w:rsidRDefault="008B29F4" w:rsidP="008B29F4">
            <w:pPr>
              <w:numPr>
                <w:ilvl w:val="0"/>
                <w:numId w:val="12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 сервере ежедневно производится сохранение резервных копий базы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«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 С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»;</w:t>
            </w:r>
          </w:p>
          <w:p w:rsidR="008B29F4" w:rsidRDefault="008B29F4" w:rsidP="008B29F4">
            <w:pPr>
              <w:numPr>
                <w:ilvl w:val="0"/>
                <w:numId w:val="12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 итогам каждого календарного месяца бухгалтерские регистры,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сформированные в электронном виде, распечатываются на бумажный носитель 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подшиваются в отдельные папки в хронологическом порядке.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Основание: </w:t>
            </w:r>
            <w:hyperlink r:id="rId88" w:anchor="/document/99/902249301/XA00MAM2NB/" w:tooltip="19. При комплексной автоматизации бухгалтерского учета информация об объектах учета формируется в базах данных используемого программного комплекса. Формирование регистров бухгалтерского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19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5.5. При обнаружении в регистрах учета ошибок сотрудники бухгалтерии анализируют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ошибочные данные, вносят исправления в первичные документы и соответствующие базы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данных. Исправления нужно вносить с учетом следующих положений:</w:t>
            </w:r>
          </w:p>
          <w:p w:rsidR="008B29F4" w:rsidRDefault="008B29F4" w:rsidP="008B29F4">
            <w:pPr>
              <w:numPr>
                <w:ilvl w:val="0"/>
                <w:numId w:val="14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доначисления или снятие начислений исправляется за счет доходов и расходов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br/>
              <w:t>текущего года дополнительной бухгалтерской записью;</w:t>
            </w:r>
          </w:p>
          <w:p w:rsidR="008B29F4" w:rsidRDefault="008B29F4" w:rsidP="008B29F4">
            <w:pPr>
              <w:numPr>
                <w:ilvl w:val="0"/>
                <w:numId w:val="14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 восстановлении в учете остатков прошлых лет применяется счет 0.401.10.180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«Прочие доходы».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6. Первичные и сводные учетные документы, бухгалтерские регистры и правила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документооборота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6.1. Все документы по движению денежных средств принимаются к учету только при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наличии подписи руководителя и главного бухгалтера.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6.2. При проведении хозяйственных операций, для оформления которых не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предусмотрены типовые формы первичных документов, используются: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самостоятельно разработанные формы.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унифицированные формы, дополненные необходимыми реквизитами.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89" w:anchor="/document/99/902249301/XA00M8G2N0/" w:tooltip="7. Основанием для отражения в бухгалтерском учете информации об активах и обязательствах, а также операций с ними являются первичные учетные документы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7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6.3. Право подписи учетных документов предоставлено директору школы и главному бухгалтеру.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6.4. График документооборота приведен в </w:t>
            </w:r>
            <w:hyperlink r:id="rId90" w:anchor="/document/118/27981/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>приложении</w:t>
              </w:r>
            </w:hyperlink>
            <w:r>
              <w:rPr>
                <w:rFonts w:ascii="Arial" w:eastAsia="Times New Roman" w:hAnsi="Arial" w:cs="Arial"/>
                <w:color w:val="2B79D9"/>
                <w:sz w:val="20"/>
                <w:szCs w:val="20"/>
                <w:lang w:eastAsia="ru-RU"/>
              </w:rPr>
              <w:t xml:space="preserve"> 8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6.5. Учреждение использует унифицированные формы регистров бухучета,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перечисленные в </w:t>
            </w:r>
            <w:hyperlink r:id="rId91" w:anchor="/document/99/420266549/XA00M7G2MM/" w:tooltip="Приложение 3. Перечень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приложении 3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 приказу № 52н. При необходимости формы регистров,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которые не унифицированы, разрабатываются самостоятельно.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6.7. Формирование регистров бухучета осуществляется в следующем порядке: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в регистрах в хронологическом порядке систематизируются первичные (сводные)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учетные документы (по датам совершения операций, дате принятия к учету первичного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документа);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инвентарная карточка учета основных средств оформляется при принятии объекта к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учету, по мере внесения изменений (данных о переоценке, модернизации, реконструкции,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консервации и пр.) и при выбытии. При отсутствии указанных событий – ежегодно, на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последний рабочий день года, со сведениями о начисленной амортизации;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инвентарная карточка группового учета основных средств оформляется при принятии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br/>
              <w:t xml:space="preserve">объектов к учету, по мере внесения изменений (данных о переоценке, модернизации,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реконструкции, консервации и пр.) и при выбытии;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опись инвентарных карточек по учету основных средств, инвентарный список основных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средств, реестр карточек заполняются ежегодно, в последний день года;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журналы операций, главная книга заполняются ежемесячно;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другие регистры, не указанные выше, заполняются по мере необходимости, если иное не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установлено законодательством РФ.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92" w:anchor="/document/99/902249301/XA00M5O2MC/" w:tooltip="11. Систематизация и накопление информации, содержащейся в принятых к учету первичных (сводных) учетных документах, в целях отражения ее на счетах бухгалтерского учета и в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11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Учетные регистры по операциям, указанным в </w:t>
            </w:r>
            <w:hyperlink r:id="rId93" w:anchor="/document/118/27948/qwert201/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>пункте 2.2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составляются отдельно.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6.8. Журналам операций присваиваются номера согласно </w:t>
            </w:r>
            <w:hyperlink r:id="rId94" w:anchor="/document/118/27982/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>приложению 7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По операциям,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указанным в </w:t>
            </w:r>
            <w:hyperlink r:id="rId95" w:anchor="/document/118/27948/qwert201/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>пункте 2.2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журналы операций ведутся отдельно. Журналы операций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подписываются главным бухгалтером и бухгалтером, составившим журнал операций.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6.9. Первичные и сводные учетные документы, бухгалтерские регистры составляются в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форме электронного документа, подписанного квалифицированной электронной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подписью.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При отсутствии возможности составить документ, регистр в электронном виде, он может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быть составлен на бумажном носителе и заверен собственноручной подписью.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Список сотрудников, имеющих право подписи электронных документов и регистров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бухучета, утверждается отдельным приказом.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96" w:anchor="/document/99/902316088/XA00M502MN/" w:tooltip="5. Первичный учетный документ составляется на бумажном носителе и (или) в виде электронного документа, подписанного электронной подписью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часть 5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статьи 9 Закона от 6 декабря 2011 г. № 402-ФЗ, пункты </w:t>
            </w:r>
            <w:hyperlink r:id="rId97" w:anchor="/document/99/902249301/XA00M8G2N0/" w:tooltip="7. Основанием для отражения в бухгалтерском учете информации об активах и обязательствах, а также операций с ними являются первичные учетные документы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7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hyperlink r:id="rId98" w:anchor="/document/99/902249301/XA00M5O2MC/" w:tooltip="11. Систематизация и накопление информации, содержащейся в принятых к учету первичных (сводных) учетных документах, в целях отражения ее на счетах бухгалтерского учета и в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11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Инструкции к Единому плану счетов № 157н, </w:t>
            </w:r>
            <w:hyperlink r:id="rId99" w:anchor="/document/99/420266549/ZAP2HUM3MT/" w:tooltip="Первичные учетные документы, регистры бухгалтерского учета составляются в форме электронного документа, подписанного квалифицированной электронной подписью (далее - электронный первичный учетный документ, электронный регистр,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Методические указания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утвержденные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hyperlink r:id="rId100" w:anchor="/document/99/420266549/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приказом Минфина России от 30 марта 2015 г. № 52н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hyperlink r:id="rId101" w:anchor="/document/99/902271495/ZA00MKG2NN/" w:tooltip="Статья 2. Основные понятия, используемые в настоящем Федеральном законе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статья 2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Закона от 6 апреля 2011 г.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№ 63-ФЗ.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6.10. Учетные документы, регистры бухучета и бухгалтерская (бюджетная) отчетность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хранятся в течение сроков, устанавливаемых в соответствии с правилами ведения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архивного дела, но не менее пяти лет.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Электронные документы, подписанные квалифицированной электронной подписью,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хранятся в электронном виде на съемных носителях информации в соответствии с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порядком учета и хранения съемных носителей информации.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По требованию другого юридического или физического лица, государственного органа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учреждение за свой счет изготавливает на бумажном носителе копии электронного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первичного учетного документа, электронного регистра. Копии электронных документов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на бумажном носителе заверяются подписью руководителя и печатью учреждения.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пункты </w:t>
            </w:r>
            <w:hyperlink r:id="rId102" w:anchor="/document/99/902249301/XA00M8G2N0/" w:tooltip="7. Основанием для отражения в бухгалтерском учете информации об активах и обязательствах, а также операций с ними являются первичные учетные документы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7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hyperlink r:id="rId103" w:anchor="/document/99/902249301/XA00M5O2MC/" w:tooltip="11. Систематизация и накопление информации, содержащейся в принятых к учету первичных (сводных) учетных документах, в целях отражения ее на счетах бухгалтерского учета и в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11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hyperlink r:id="rId104" w:anchor="/document/99/902249301/XA00M7E2ML/" w:tooltip="14. Субъект учета обязан обеспечить хранение первичных (сводных) учетных документов, регистров бухгалтерского учета и бухгалтерскаую (финансовую) отчетность в течение сроков, устанавливаемых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14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6.11. В деятельности учреждения используются следующие бланки строгой отчетности: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бланки дипломов, свидетельств.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Основание: </w:t>
            </w:r>
            <w:hyperlink r:id="rId105" w:anchor="/document/99/902249301/ZAP23OE3CI/" w:tooltip="337. Счет предназначен для учета, находящихся на хранении и выдаваемых в рамках хозяйственной деятельности учреждения бланков строгой отчетности (бланков трудовых книжек, вкладышей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337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6.12. Должностные лица, ответственные за учет, хранение и выдачу следующих бланков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строгой отчетности: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бланков дипломов, свидетельств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заведующий учебной частью;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7. Порядок организации и обеспечения внутреннего финансового контроля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7.1. Внутренний финансовый контроль в учреждении осуществляет комиссия. Помимо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комиссии постоянный текущий контроль в ходе своей деятельности осуществляют в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рамках своих полномочий:</w:t>
            </w:r>
          </w:p>
          <w:p w:rsidR="008B29F4" w:rsidRDefault="008B29F4" w:rsidP="008B29F4">
            <w:pPr>
              <w:numPr>
                <w:ilvl w:val="0"/>
                <w:numId w:val="16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руководитель учреждения;</w:t>
            </w:r>
          </w:p>
          <w:p w:rsidR="008B29F4" w:rsidRDefault="008B29F4" w:rsidP="008B29F4">
            <w:pPr>
              <w:numPr>
                <w:ilvl w:val="0"/>
                <w:numId w:val="16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главный бухгалтер;</w:t>
            </w:r>
          </w:p>
          <w:p w:rsidR="008B29F4" w:rsidRDefault="008B29F4" w:rsidP="008B29F4">
            <w:pPr>
              <w:numPr>
                <w:ilvl w:val="0"/>
                <w:numId w:val="16"/>
              </w:numPr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должностные лица учреждения в соответствии со своими обязанностями.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7.2. Положение о внутреннем финансовом контроле и график проведения внутренних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проверок финансово-хозяйственной деятельности приведен в </w:t>
            </w:r>
            <w:hyperlink r:id="rId106" w:anchor="/document/118/28038/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>приложении 9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107" w:anchor="/document/99/902249301/XA00M7G2MM/" w:tooltip="6. Субъект учета в целях организации бухгалтерского учета, руководствуясь законодательством Российской Федерации о бухгалтерском учете, нормативными актами органов, регулирующими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6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8. Бухгалтерская (финансовая) отчетность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8.1. Бухгалтерская (финансовая) отчетность составляется на основании аналитического 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синтетического учета по формам, в объеме и в сроки, установленные учредителем 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Инструкцией о порядке составления, представления годовой квартальной отчетности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a3"/>
                <w:rFonts w:ascii="Courier New" w:hAnsi="Courier New" w:cs="Courier New"/>
                <w:color w:val="147900"/>
                <w:u w:val="non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государственных (муниципальных) бюджетных и автономных учреждений (</w:t>
            </w:r>
            <w:hyperlink r:id="rId108" w:anchor="/document/99/902271090/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 xml:space="preserve">приказ </w:t>
              </w:r>
            </w:hyperlink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hyperlink r:id="rId109" w:anchor="/document/99/902271090/" w:history="1">
              <w:r>
                <w:rPr>
                  <w:rFonts w:ascii="Arial" w:eastAsia="Times New Roman" w:hAnsi="Arial" w:cs="Arial"/>
                  <w:color w:val="147900"/>
                  <w:sz w:val="20"/>
                  <w:szCs w:val="20"/>
                  <w:lang w:eastAsia="ru-RU"/>
                </w:rPr>
                <w:br/>
              </w:r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Минфина России от 25 марта 2011 г. № 33н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части операций, указанных в </w:t>
            </w:r>
            <w:hyperlink r:id="rId110" w:anchor="/document/118/27948/qwert201/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>пункте 2.2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составляется бюджетная отчетность в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соответствии с </w:t>
            </w:r>
            <w:hyperlink r:id="rId111" w:anchor="/document/99/902254657/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приказом Минфина России от 28 декабря 2010 г. № 191н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8.2. Бухгалтерская (финансовая) отчетность за отчетный год формируется с учетом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событий после отчетной даты. Обстоятельства, послужившие причиной отражения в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отчетности событий после отчетной даты, указываются в текстовой части пояснительной 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записки (</w:t>
            </w:r>
            <w:hyperlink r:id="rId112" w:anchor="/document/140/24130/" w:history="1">
              <w:r>
                <w:rPr>
                  <w:rStyle w:val="a3"/>
                  <w:rFonts w:ascii="Arial" w:eastAsia="Times New Roman" w:hAnsi="Arial" w:cs="Arial"/>
                  <w:color w:val="2B79D9"/>
                  <w:sz w:val="20"/>
                  <w:szCs w:val="20"/>
                  <w:u w:val="none"/>
                  <w:lang w:eastAsia="ru-RU"/>
                </w:rPr>
                <w:t>ф. 0503760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Основание: </w:t>
            </w:r>
            <w:hyperlink r:id="rId113" w:anchor="/document/99/902249301/ZAP28RM3JG/" w:tooltip="3. При ведении бухгалтерского учета учреждениям, финансовым органам, органам, осуществляющим кассовое обслуживание, необходимо учитывать..." w:history="1">
              <w:r>
                <w:rPr>
                  <w:rStyle w:val="a3"/>
                  <w:rFonts w:ascii="Arial" w:eastAsia="Times New Roman" w:hAnsi="Arial" w:cs="Arial"/>
                  <w:color w:val="147900"/>
                  <w:sz w:val="20"/>
                  <w:szCs w:val="20"/>
                  <w:u w:val="none"/>
                  <w:lang w:eastAsia="ru-RU"/>
                </w:rPr>
                <w:t>пункт 3</w:t>
              </w:r>
            </w:hyperlink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Инструкции к Единому плану счетов № 157н.</w:t>
            </w:r>
          </w:p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974"/>
              <w:gridCol w:w="1403"/>
              <w:gridCol w:w="1299"/>
            </w:tblGrid>
            <w:tr w:rsidR="008B29F4">
              <w:tc>
                <w:tcPr>
                  <w:tcW w:w="0" w:type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bottom"/>
                  <w:hideMark/>
                </w:tcPr>
                <w:p w:rsidR="008B29F4" w:rsidRDefault="008B29F4" w:rsidP="008B29F4">
                  <w:pPr>
                    <w:framePr w:hSpace="180" w:wrap="around" w:hAnchor="margin" w:y="213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Главный бухгалтер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:rsidR="008B29F4" w:rsidRDefault="008B29F4" w:rsidP="008B29F4">
                  <w:pPr>
                    <w:framePr w:hSpace="180" w:wrap="around" w:hAnchor="margin" w:y="213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                                            </w:t>
                  </w:r>
                </w:p>
              </w:tc>
              <w:tc>
                <w:tcPr>
                  <w:tcW w:w="0" w:type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bottom"/>
                  <w:hideMark/>
                </w:tcPr>
                <w:p w:rsidR="008B29F4" w:rsidRDefault="008B29F4" w:rsidP="008B29F4">
                  <w:pPr>
                    <w:framePr w:hSpace="180" w:wrap="around" w:hAnchor="margin" w:y="213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shd w:val="clear" w:color="auto" w:fill="FFFFCC"/>
                      <w:lang w:eastAsia="ru-RU"/>
                    </w:rPr>
                    <w:t>Е.М.Фенева</w:t>
                  </w:r>
                  <w:proofErr w:type="spellEnd"/>
                </w:p>
              </w:tc>
            </w:tr>
            <w:tr w:rsidR="008B29F4">
              <w:tc>
                <w:tcPr>
                  <w:tcW w:w="0" w:type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8B29F4" w:rsidRDefault="008B29F4" w:rsidP="008B29F4">
                  <w:pPr>
                    <w:framePr w:hSpace="180" w:wrap="around" w:hAnchor="margin" w:y="2130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8B29F4" w:rsidRDefault="008B29F4" w:rsidP="008B29F4">
                  <w:pPr>
                    <w:framePr w:hSpace="180" w:wrap="around" w:hAnchor="margin" w:y="2130"/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8B29F4" w:rsidRDefault="008B29F4" w:rsidP="008B29F4">
                  <w:pPr>
                    <w:framePr w:hSpace="180" w:wrap="around" w:hAnchor="margin" w:y="2130"/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8B29F4" w:rsidRDefault="008B29F4" w:rsidP="008B2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8B29F4" w:rsidRDefault="008B29F4" w:rsidP="008B29F4"/>
    <w:p w:rsidR="00142445" w:rsidRDefault="00142445"/>
    <w:sectPr w:rsidR="00142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85A94"/>
    <w:multiLevelType w:val="multilevel"/>
    <w:tmpl w:val="64BE2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FE41AC"/>
    <w:multiLevelType w:val="multilevel"/>
    <w:tmpl w:val="4CBE9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717861"/>
    <w:multiLevelType w:val="multilevel"/>
    <w:tmpl w:val="C5A83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D76CF8"/>
    <w:multiLevelType w:val="multilevel"/>
    <w:tmpl w:val="74623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09065E"/>
    <w:multiLevelType w:val="multilevel"/>
    <w:tmpl w:val="FE489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682C84"/>
    <w:multiLevelType w:val="multilevel"/>
    <w:tmpl w:val="EF9E1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8A1FC9"/>
    <w:multiLevelType w:val="multilevel"/>
    <w:tmpl w:val="516AB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251FDF"/>
    <w:multiLevelType w:val="multilevel"/>
    <w:tmpl w:val="C8D4F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  <w:num w:numId="1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5"/>
  </w:num>
  <w:num w:numId="1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9F4"/>
    <w:rsid w:val="00142445"/>
    <w:rsid w:val="008B2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E6EE0F-828B-4148-9859-8F9308340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9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29F4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8B29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29F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uiPriority w:val="99"/>
    <w:rsid w:val="008B2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B2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B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29F4"/>
    <w:rPr>
      <w:rFonts w:ascii="Tahoma" w:hAnsi="Tahoma" w:cs="Tahoma"/>
      <w:sz w:val="16"/>
      <w:szCs w:val="16"/>
    </w:rPr>
  </w:style>
  <w:style w:type="character" w:customStyle="1" w:styleId="fill">
    <w:name w:val="fill"/>
    <w:basedOn w:val="a0"/>
    <w:rsid w:val="008B29F4"/>
  </w:style>
  <w:style w:type="character" w:customStyle="1" w:styleId="sfwc">
    <w:name w:val="sfwc"/>
    <w:basedOn w:val="a0"/>
    <w:rsid w:val="008B29F4"/>
  </w:style>
  <w:style w:type="character" w:customStyle="1" w:styleId="apple-converted-space">
    <w:name w:val="apple-converted-space"/>
    <w:basedOn w:val="a0"/>
    <w:rsid w:val="008B29F4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B29F4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8B29F4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B29F4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8B29F4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5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gosfinansy.ru/" TargetMode="External"/><Relationship Id="rId21" Type="http://schemas.openxmlformats.org/officeDocument/2006/relationships/hyperlink" Target="http://www.gosfinansy.ru/" TargetMode="External"/><Relationship Id="rId42" Type="http://schemas.openxmlformats.org/officeDocument/2006/relationships/hyperlink" Target="http://www.gosfinansy.ru/" TargetMode="External"/><Relationship Id="rId47" Type="http://schemas.openxmlformats.org/officeDocument/2006/relationships/hyperlink" Target="http://www.gosfinansy.ru/" TargetMode="External"/><Relationship Id="rId63" Type="http://schemas.openxmlformats.org/officeDocument/2006/relationships/hyperlink" Target="http://www.gosfinansy.ru/" TargetMode="External"/><Relationship Id="rId68" Type="http://schemas.openxmlformats.org/officeDocument/2006/relationships/hyperlink" Target="http://www.gosfinansy.ru/" TargetMode="External"/><Relationship Id="rId84" Type="http://schemas.openxmlformats.org/officeDocument/2006/relationships/hyperlink" Target="http://www.gosfinansy.ru/" TargetMode="External"/><Relationship Id="rId89" Type="http://schemas.openxmlformats.org/officeDocument/2006/relationships/hyperlink" Target="http://www.gosfinansy.ru/" TargetMode="External"/><Relationship Id="rId112" Type="http://schemas.openxmlformats.org/officeDocument/2006/relationships/hyperlink" Target="http://www.gosfinansy.ru/" TargetMode="External"/><Relationship Id="rId16" Type="http://schemas.openxmlformats.org/officeDocument/2006/relationships/hyperlink" Target="http://www.gosfinansy.ru/" TargetMode="External"/><Relationship Id="rId107" Type="http://schemas.openxmlformats.org/officeDocument/2006/relationships/hyperlink" Target="http://www.gosfinansy.ru/" TargetMode="External"/><Relationship Id="rId11" Type="http://schemas.openxmlformats.org/officeDocument/2006/relationships/hyperlink" Target="http://www.gosfinansy.ru/" TargetMode="External"/><Relationship Id="rId24" Type="http://schemas.openxmlformats.org/officeDocument/2006/relationships/hyperlink" Target="http://www.gosfinansy.ru/" TargetMode="External"/><Relationship Id="rId32" Type="http://schemas.openxmlformats.org/officeDocument/2006/relationships/hyperlink" Target="http://www.gosfinansy.ru/" TargetMode="External"/><Relationship Id="rId37" Type="http://schemas.openxmlformats.org/officeDocument/2006/relationships/hyperlink" Target="http://www.gosfinansy.ru/" TargetMode="External"/><Relationship Id="rId40" Type="http://schemas.openxmlformats.org/officeDocument/2006/relationships/hyperlink" Target="http://www.gosfinansy.ru/" TargetMode="External"/><Relationship Id="rId45" Type="http://schemas.openxmlformats.org/officeDocument/2006/relationships/hyperlink" Target="http://www.gosfinansy.ru/" TargetMode="External"/><Relationship Id="rId53" Type="http://schemas.openxmlformats.org/officeDocument/2006/relationships/hyperlink" Target="http://www.gosfinansy.ru/" TargetMode="External"/><Relationship Id="rId58" Type="http://schemas.openxmlformats.org/officeDocument/2006/relationships/hyperlink" Target="http://www.gosfinansy.ru/" TargetMode="External"/><Relationship Id="rId66" Type="http://schemas.openxmlformats.org/officeDocument/2006/relationships/hyperlink" Target="http://www.gosfinansy.ru/" TargetMode="External"/><Relationship Id="rId74" Type="http://schemas.openxmlformats.org/officeDocument/2006/relationships/hyperlink" Target="http://www.gosfinansy.ru/" TargetMode="External"/><Relationship Id="rId79" Type="http://schemas.openxmlformats.org/officeDocument/2006/relationships/hyperlink" Target="http://www.gosfinansy.ru/" TargetMode="External"/><Relationship Id="rId87" Type="http://schemas.openxmlformats.org/officeDocument/2006/relationships/hyperlink" Target="http://www.gosfinansy.ru/" TargetMode="External"/><Relationship Id="rId102" Type="http://schemas.openxmlformats.org/officeDocument/2006/relationships/hyperlink" Target="http://www.gosfinansy.ru/" TargetMode="External"/><Relationship Id="rId110" Type="http://schemas.openxmlformats.org/officeDocument/2006/relationships/hyperlink" Target="http://www.gosfinansy.ru/" TargetMode="External"/><Relationship Id="rId115" Type="http://schemas.openxmlformats.org/officeDocument/2006/relationships/theme" Target="theme/theme1.xml"/><Relationship Id="rId5" Type="http://schemas.openxmlformats.org/officeDocument/2006/relationships/image" Target="media/image1.jpeg"/><Relationship Id="rId61" Type="http://schemas.openxmlformats.org/officeDocument/2006/relationships/hyperlink" Target="http://www.gosfinansy.ru/" TargetMode="External"/><Relationship Id="rId82" Type="http://schemas.openxmlformats.org/officeDocument/2006/relationships/hyperlink" Target="http://www.gosfinansy.ru/" TargetMode="External"/><Relationship Id="rId90" Type="http://schemas.openxmlformats.org/officeDocument/2006/relationships/hyperlink" Target="http://www.gosfinansy.ru/" TargetMode="External"/><Relationship Id="rId95" Type="http://schemas.openxmlformats.org/officeDocument/2006/relationships/hyperlink" Target="http://www.gosfinansy.ru/" TargetMode="External"/><Relationship Id="rId19" Type="http://schemas.openxmlformats.org/officeDocument/2006/relationships/hyperlink" Target="http://www.gosfinansy.ru/" TargetMode="External"/><Relationship Id="rId14" Type="http://schemas.openxmlformats.org/officeDocument/2006/relationships/hyperlink" Target="http://www.gosfinansy.ru/" TargetMode="External"/><Relationship Id="rId22" Type="http://schemas.openxmlformats.org/officeDocument/2006/relationships/hyperlink" Target="http://www.gosfinansy.ru/" TargetMode="External"/><Relationship Id="rId27" Type="http://schemas.openxmlformats.org/officeDocument/2006/relationships/hyperlink" Target="http://www.gosfinansy.ru/" TargetMode="External"/><Relationship Id="rId30" Type="http://schemas.openxmlformats.org/officeDocument/2006/relationships/hyperlink" Target="http://www.gosfinansy.ru/" TargetMode="External"/><Relationship Id="rId35" Type="http://schemas.openxmlformats.org/officeDocument/2006/relationships/hyperlink" Target="http://www.gosfinansy.ru/" TargetMode="External"/><Relationship Id="rId43" Type="http://schemas.openxmlformats.org/officeDocument/2006/relationships/hyperlink" Target="http://www.gosfinansy.ru/" TargetMode="External"/><Relationship Id="rId48" Type="http://schemas.openxmlformats.org/officeDocument/2006/relationships/hyperlink" Target="http://www.gosfinansy.ru/" TargetMode="External"/><Relationship Id="rId56" Type="http://schemas.openxmlformats.org/officeDocument/2006/relationships/hyperlink" Target="http://www.gosfinansy.ru/" TargetMode="External"/><Relationship Id="rId64" Type="http://schemas.openxmlformats.org/officeDocument/2006/relationships/hyperlink" Target="http://www.gosfinansy.ru/" TargetMode="External"/><Relationship Id="rId69" Type="http://schemas.openxmlformats.org/officeDocument/2006/relationships/hyperlink" Target="http://www.gosfinansy.ru/" TargetMode="External"/><Relationship Id="rId77" Type="http://schemas.openxmlformats.org/officeDocument/2006/relationships/hyperlink" Target="http://www.gosfinansy.ru/" TargetMode="External"/><Relationship Id="rId100" Type="http://schemas.openxmlformats.org/officeDocument/2006/relationships/hyperlink" Target="http://www.gosfinansy.ru/" TargetMode="External"/><Relationship Id="rId105" Type="http://schemas.openxmlformats.org/officeDocument/2006/relationships/hyperlink" Target="http://www.gosfinansy.ru/" TargetMode="External"/><Relationship Id="rId113" Type="http://schemas.openxmlformats.org/officeDocument/2006/relationships/hyperlink" Target="http://www.gosfinansy.ru/" TargetMode="External"/><Relationship Id="rId8" Type="http://schemas.openxmlformats.org/officeDocument/2006/relationships/hyperlink" Target="http://www.gosfinansy.ru/" TargetMode="External"/><Relationship Id="rId51" Type="http://schemas.openxmlformats.org/officeDocument/2006/relationships/hyperlink" Target="http://www.gosfinansy.ru/" TargetMode="External"/><Relationship Id="rId72" Type="http://schemas.openxmlformats.org/officeDocument/2006/relationships/hyperlink" Target="http://www.gosfinansy.ru/" TargetMode="External"/><Relationship Id="rId80" Type="http://schemas.openxmlformats.org/officeDocument/2006/relationships/hyperlink" Target="http://www.gosfinansy.ru/" TargetMode="External"/><Relationship Id="rId85" Type="http://schemas.openxmlformats.org/officeDocument/2006/relationships/hyperlink" Target="http://www.gosfinansy.ru/" TargetMode="External"/><Relationship Id="rId93" Type="http://schemas.openxmlformats.org/officeDocument/2006/relationships/hyperlink" Target="http://www.gosfinansy.ru/" TargetMode="External"/><Relationship Id="rId98" Type="http://schemas.openxmlformats.org/officeDocument/2006/relationships/hyperlink" Target="http://www.gosfinansy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gosfinansy.ru/" TargetMode="External"/><Relationship Id="rId17" Type="http://schemas.openxmlformats.org/officeDocument/2006/relationships/hyperlink" Target="http://www.gosfinansy.ru/" TargetMode="External"/><Relationship Id="rId25" Type="http://schemas.openxmlformats.org/officeDocument/2006/relationships/hyperlink" Target="http://www.gosfinansy.ru/" TargetMode="External"/><Relationship Id="rId33" Type="http://schemas.openxmlformats.org/officeDocument/2006/relationships/hyperlink" Target="http://www.gosfinansy.ru/" TargetMode="External"/><Relationship Id="rId38" Type="http://schemas.openxmlformats.org/officeDocument/2006/relationships/hyperlink" Target="http://www.gosfinansy.ru/" TargetMode="External"/><Relationship Id="rId46" Type="http://schemas.openxmlformats.org/officeDocument/2006/relationships/hyperlink" Target="http://www.gosfinansy.ru/" TargetMode="External"/><Relationship Id="rId59" Type="http://schemas.openxmlformats.org/officeDocument/2006/relationships/hyperlink" Target="http://www.gosfinansy.ru/" TargetMode="External"/><Relationship Id="rId67" Type="http://schemas.openxmlformats.org/officeDocument/2006/relationships/hyperlink" Target="http://www.gosfinansy.ru/" TargetMode="External"/><Relationship Id="rId103" Type="http://schemas.openxmlformats.org/officeDocument/2006/relationships/hyperlink" Target="http://www.gosfinansy.ru/" TargetMode="External"/><Relationship Id="rId108" Type="http://schemas.openxmlformats.org/officeDocument/2006/relationships/hyperlink" Target="http://www.gosfinansy.ru/" TargetMode="External"/><Relationship Id="rId20" Type="http://schemas.openxmlformats.org/officeDocument/2006/relationships/hyperlink" Target="http://www.gosfinansy.ru/" TargetMode="External"/><Relationship Id="rId41" Type="http://schemas.openxmlformats.org/officeDocument/2006/relationships/hyperlink" Target="http://www.gosfinansy.ru/" TargetMode="External"/><Relationship Id="rId54" Type="http://schemas.openxmlformats.org/officeDocument/2006/relationships/hyperlink" Target="http://www.gosfinansy.ru/" TargetMode="External"/><Relationship Id="rId62" Type="http://schemas.openxmlformats.org/officeDocument/2006/relationships/hyperlink" Target="http://www.gosfinansy.ru/" TargetMode="External"/><Relationship Id="rId70" Type="http://schemas.openxmlformats.org/officeDocument/2006/relationships/hyperlink" Target="http://www.gosfinansy.ru/" TargetMode="External"/><Relationship Id="rId75" Type="http://schemas.openxmlformats.org/officeDocument/2006/relationships/hyperlink" Target="http://www.gosfinansy.ru/" TargetMode="External"/><Relationship Id="rId83" Type="http://schemas.openxmlformats.org/officeDocument/2006/relationships/hyperlink" Target="http://www.gosfinansy.ru/" TargetMode="External"/><Relationship Id="rId88" Type="http://schemas.openxmlformats.org/officeDocument/2006/relationships/hyperlink" Target="http://www.gosfinansy.ru/" TargetMode="External"/><Relationship Id="rId91" Type="http://schemas.openxmlformats.org/officeDocument/2006/relationships/hyperlink" Target="http://www.gosfinansy.ru/" TargetMode="External"/><Relationship Id="rId96" Type="http://schemas.openxmlformats.org/officeDocument/2006/relationships/hyperlink" Target="http://www.gosfinansy.ru/" TargetMode="External"/><Relationship Id="rId111" Type="http://schemas.openxmlformats.org/officeDocument/2006/relationships/hyperlink" Target="http://www.gosfinansy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sfinansy.ru/" TargetMode="External"/><Relationship Id="rId15" Type="http://schemas.openxmlformats.org/officeDocument/2006/relationships/hyperlink" Target="http://www.gosfinansy.ru/" TargetMode="External"/><Relationship Id="rId23" Type="http://schemas.openxmlformats.org/officeDocument/2006/relationships/hyperlink" Target="http://www.gosfinansy.ru/" TargetMode="External"/><Relationship Id="rId28" Type="http://schemas.openxmlformats.org/officeDocument/2006/relationships/hyperlink" Target="http://www.gosfinansy.ru/" TargetMode="External"/><Relationship Id="rId36" Type="http://schemas.openxmlformats.org/officeDocument/2006/relationships/hyperlink" Target="http://www.gosfinansy.ru/" TargetMode="External"/><Relationship Id="rId49" Type="http://schemas.openxmlformats.org/officeDocument/2006/relationships/hyperlink" Target="http://www.gosfinansy.ru/" TargetMode="External"/><Relationship Id="rId57" Type="http://schemas.openxmlformats.org/officeDocument/2006/relationships/hyperlink" Target="http://www.gosfinansy.ru/" TargetMode="External"/><Relationship Id="rId106" Type="http://schemas.openxmlformats.org/officeDocument/2006/relationships/hyperlink" Target="http://www.gosfinansy.ru/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://www.gosfinansy.ru/" TargetMode="External"/><Relationship Id="rId31" Type="http://schemas.openxmlformats.org/officeDocument/2006/relationships/hyperlink" Target="http://www.gosfinansy.ru/" TargetMode="External"/><Relationship Id="rId44" Type="http://schemas.openxmlformats.org/officeDocument/2006/relationships/hyperlink" Target="http://www.gosfinansy.ru/" TargetMode="External"/><Relationship Id="rId52" Type="http://schemas.openxmlformats.org/officeDocument/2006/relationships/hyperlink" Target="http://www.gosfinansy.ru/" TargetMode="External"/><Relationship Id="rId60" Type="http://schemas.openxmlformats.org/officeDocument/2006/relationships/hyperlink" Target="http://www.gosfinansy.ru/" TargetMode="External"/><Relationship Id="rId65" Type="http://schemas.openxmlformats.org/officeDocument/2006/relationships/hyperlink" Target="http://www.gosfinansy.ru/" TargetMode="External"/><Relationship Id="rId73" Type="http://schemas.openxmlformats.org/officeDocument/2006/relationships/hyperlink" Target="http://www.gosfinansy.ru/" TargetMode="External"/><Relationship Id="rId78" Type="http://schemas.openxmlformats.org/officeDocument/2006/relationships/hyperlink" Target="http://www.gosfinansy.ru/" TargetMode="External"/><Relationship Id="rId81" Type="http://schemas.openxmlformats.org/officeDocument/2006/relationships/hyperlink" Target="http://www.gosfinansy.ru/" TargetMode="External"/><Relationship Id="rId86" Type="http://schemas.openxmlformats.org/officeDocument/2006/relationships/hyperlink" Target="http://www.gosfinansy.ru/" TargetMode="External"/><Relationship Id="rId94" Type="http://schemas.openxmlformats.org/officeDocument/2006/relationships/hyperlink" Target="http://www.gosfinansy.ru/" TargetMode="External"/><Relationship Id="rId99" Type="http://schemas.openxmlformats.org/officeDocument/2006/relationships/hyperlink" Target="http://www.gosfinansy.ru/" TargetMode="External"/><Relationship Id="rId101" Type="http://schemas.openxmlformats.org/officeDocument/2006/relationships/hyperlink" Target="http://www.gosfinans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finansy.ru/" TargetMode="External"/><Relationship Id="rId13" Type="http://schemas.openxmlformats.org/officeDocument/2006/relationships/hyperlink" Target="http://www.gosfinansy.ru/" TargetMode="External"/><Relationship Id="rId18" Type="http://schemas.openxmlformats.org/officeDocument/2006/relationships/hyperlink" Target="http://www.gosfinansy.ru/" TargetMode="External"/><Relationship Id="rId39" Type="http://schemas.openxmlformats.org/officeDocument/2006/relationships/hyperlink" Target="http://www.gosfinansy.ru/" TargetMode="External"/><Relationship Id="rId109" Type="http://schemas.openxmlformats.org/officeDocument/2006/relationships/hyperlink" Target="http://www.gosfinansy.ru/" TargetMode="External"/><Relationship Id="rId34" Type="http://schemas.openxmlformats.org/officeDocument/2006/relationships/hyperlink" Target="http://www.gosfinansy.ru/" TargetMode="External"/><Relationship Id="rId50" Type="http://schemas.openxmlformats.org/officeDocument/2006/relationships/hyperlink" Target="http://www.gosfinansy.ru/" TargetMode="External"/><Relationship Id="rId55" Type="http://schemas.openxmlformats.org/officeDocument/2006/relationships/hyperlink" Target="http://www.gosfinansy.ru/" TargetMode="External"/><Relationship Id="rId76" Type="http://schemas.openxmlformats.org/officeDocument/2006/relationships/hyperlink" Target="http://www.gosfinansy.ru/" TargetMode="External"/><Relationship Id="rId97" Type="http://schemas.openxmlformats.org/officeDocument/2006/relationships/hyperlink" Target="http://www.gosfinansy.ru/" TargetMode="External"/><Relationship Id="rId104" Type="http://schemas.openxmlformats.org/officeDocument/2006/relationships/hyperlink" Target="http://www.gosfinansy.ru/" TargetMode="External"/><Relationship Id="rId7" Type="http://schemas.openxmlformats.org/officeDocument/2006/relationships/hyperlink" Target="http://www.gosfinansy.ru/" TargetMode="External"/><Relationship Id="rId71" Type="http://schemas.openxmlformats.org/officeDocument/2006/relationships/hyperlink" Target="http://www.gosfinansy.ru/" TargetMode="External"/><Relationship Id="rId92" Type="http://schemas.openxmlformats.org/officeDocument/2006/relationships/hyperlink" Target="http://www.gosfinansy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6949</Words>
  <Characters>39615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Fedor Abramtsev</dc:creator>
  <cp:keywords/>
  <dc:description/>
  <cp:lastModifiedBy>Fedor Abramtsev</cp:lastModifiedBy>
  <cp:revision>2</cp:revision>
  <dcterms:created xsi:type="dcterms:W3CDTF">2017-08-04T13:02:00Z</dcterms:created>
  <dcterms:modified xsi:type="dcterms:W3CDTF">2017-08-04T13:05:00Z</dcterms:modified>
</cp:coreProperties>
</file>